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7" w:lineRule="auto"/>
        <w:ind w:firstLine="552"/>
        <w:jc w:val="both"/>
        <w:rPr>
          <w:rFonts w:ascii="宋体" w:hAnsi="宋体" w:eastAsia="宋体" w:cs="宋体"/>
          <w:bCs/>
          <w:spacing w:val="-4"/>
          <w:sz w:val="28"/>
          <w:szCs w:val="28"/>
          <w:lang w:eastAsia="zh-CN"/>
        </w:rPr>
      </w:pPr>
      <w:r>
        <w:rPr>
          <w:rFonts w:hint="eastAsia" w:ascii="宋体" w:hAnsi="宋体" w:eastAsia="宋体" w:cs="宋体"/>
          <w:bCs/>
          <w:spacing w:val="-4"/>
          <w:sz w:val="28"/>
          <w:szCs w:val="28"/>
          <w:lang w:eastAsia="zh-CN"/>
        </w:rPr>
        <w:t>附件5</w:t>
      </w:r>
    </w:p>
    <w:p>
      <w:pPr>
        <w:spacing w:before="201" w:line="578" w:lineRule="exact"/>
        <w:ind w:left="2169"/>
        <w:jc w:val="center"/>
        <w:rPr>
          <w:rFonts w:ascii="黑体" w:hAnsi="黑体" w:eastAsia="黑体" w:cs="黑体"/>
          <w:spacing w:val="15"/>
          <w:position w:val="10"/>
          <w:sz w:val="42"/>
          <w:szCs w:val="42"/>
          <w:lang w:eastAsia="zh-CN"/>
        </w:rPr>
      </w:pPr>
      <w:r>
        <w:rPr>
          <w:rFonts w:ascii="黑体" w:hAnsi="黑体" w:eastAsia="黑体" w:cs="黑体"/>
          <w:spacing w:val="15"/>
          <w:position w:val="10"/>
          <w:sz w:val="42"/>
          <w:szCs w:val="42"/>
          <w:lang w:eastAsia="zh-CN"/>
        </w:rPr>
        <w:t>202</w:t>
      </w:r>
      <w:r>
        <w:rPr>
          <w:rFonts w:hint="eastAsia" w:ascii="黑体" w:hAnsi="黑体" w:eastAsia="黑体" w:cs="黑体"/>
          <w:spacing w:val="15"/>
          <w:position w:val="10"/>
          <w:sz w:val="42"/>
          <w:szCs w:val="42"/>
          <w:lang w:val="en-US" w:eastAsia="zh-CN"/>
        </w:rPr>
        <w:t>2</w:t>
      </w:r>
      <w:r>
        <w:rPr>
          <w:rFonts w:ascii="黑体" w:hAnsi="黑体" w:eastAsia="黑体" w:cs="黑体"/>
          <w:spacing w:val="15"/>
          <w:position w:val="10"/>
          <w:sz w:val="42"/>
          <w:szCs w:val="42"/>
          <w:lang w:eastAsia="zh-CN"/>
        </w:rPr>
        <w:t>年度</w:t>
      </w:r>
      <w:r>
        <w:rPr>
          <w:rFonts w:hint="eastAsia" w:ascii="黑体" w:hAnsi="黑体" w:eastAsia="黑体" w:cs="黑体"/>
          <w:spacing w:val="15"/>
          <w:position w:val="10"/>
          <w:sz w:val="42"/>
          <w:szCs w:val="42"/>
          <w:lang w:eastAsia="zh-CN"/>
        </w:rPr>
        <w:t>农村宅基地和集体建设用地房地一体确权登记颁证专项项目</w:t>
      </w:r>
      <w:r>
        <w:rPr>
          <w:rFonts w:ascii="黑体" w:hAnsi="黑体" w:eastAsia="黑体" w:cs="黑体"/>
          <w:spacing w:val="15"/>
          <w:position w:val="10"/>
          <w:sz w:val="42"/>
          <w:szCs w:val="42"/>
          <w:lang w:eastAsia="zh-CN"/>
        </w:rPr>
        <w:t>支出绩效自评报告</w:t>
      </w:r>
    </w:p>
    <w:p>
      <w:pPr>
        <w:spacing w:line="246" w:lineRule="auto"/>
        <w:jc w:val="center"/>
        <w:rPr>
          <w:rFonts w:ascii="黑体" w:hAnsi="黑体" w:eastAsia="黑体" w:cs="黑体"/>
          <w:spacing w:val="15"/>
          <w:position w:val="10"/>
          <w:sz w:val="42"/>
          <w:szCs w:val="42"/>
          <w:lang w:eastAsia="zh-CN"/>
        </w:rPr>
      </w:pPr>
    </w:p>
    <w:p>
      <w:pPr>
        <w:spacing w:line="246" w:lineRule="auto"/>
        <w:jc w:val="center"/>
        <w:rPr>
          <w:rFonts w:ascii="黑体" w:hAnsi="黑体" w:eastAsia="黑体" w:cs="黑体"/>
          <w:spacing w:val="15"/>
          <w:position w:val="10"/>
          <w:sz w:val="42"/>
          <w:szCs w:val="42"/>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6"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spacing w:line="247" w:lineRule="auto"/>
        <w:rPr>
          <w:lang w:eastAsia="zh-CN"/>
        </w:rPr>
      </w:pPr>
    </w:p>
    <w:p>
      <w:pPr>
        <w:pStyle w:val="2"/>
        <w:spacing w:before="89" w:line="221" w:lineRule="auto"/>
        <w:ind w:left="2270"/>
        <w:rPr>
          <w:sz w:val="27"/>
          <w:szCs w:val="27"/>
          <w:lang w:eastAsia="zh-CN"/>
        </w:rPr>
      </w:pPr>
      <w:r>
        <w:rPr>
          <w:spacing w:val="-22"/>
          <w:sz w:val="27"/>
          <w:szCs w:val="27"/>
          <w:lang w:eastAsia="zh-CN"/>
        </w:rPr>
        <w:t>部 门 ( 单位)名称：</w:t>
      </w:r>
      <w:r>
        <w:rPr>
          <w:spacing w:val="-22"/>
          <w:sz w:val="27"/>
          <w:szCs w:val="27"/>
          <w:u w:val="single"/>
          <w:lang w:eastAsia="zh-CN"/>
        </w:rPr>
        <w:t xml:space="preserve">   </w:t>
      </w:r>
      <w:r>
        <w:rPr>
          <w:rFonts w:hint="eastAsia"/>
          <w:spacing w:val="-22"/>
          <w:sz w:val="27"/>
          <w:szCs w:val="27"/>
          <w:u w:val="single"/>
          <w:lang w:eastAsia="zh-CN"/>
        </w:rPr>
        <w:t>汨罗市自然资源局</w:t>
      </w:r>
      <w:r>
        <w:rPr>
          <w:spacing w:val="-22"/>
          <w:sz w:val="27"/>
          <w:szCs w:val="27"/>
          <w:u w:val="single"/>
          <w:lang w:eastAsia="zh-CN"/>
        </w:rPr>
        <w:t>(盖章)</w:t>
      </w:r>
    </w:p>
    <w:p>
      <w:pPr>
        <w:pStyle w:val="2"/>
        <w:spacing w:before="289" w:line="610" w:lineRule="exact"/>
        <w:ind w:left="3490"/>
        <w:rPr>
          <w:sz w:val="27"/>
          <w:szCs w:val="27"/>
          <w:lang w:eastAsia="zh-CN"/>
        </w:rPr>
      </w:pPr>
      <w:r>
        <w:rPr>
          <w:rFonts w:hint="eastAsia"/>
          <w:spacing w:val="-13"/>
          <w:position w:val="26"/>
          <w:sz w:val="27"/>
          <w:szCs w:val="27"/>
          <w:lang w:eastAsia="zh-CN"/>
        </w:rPr>
        <w:t>202</w:t>
      </w:r>
      <w:r>
        <w:rPr>
          <w:rFonts w:hint="eastAsia"/>
          <w:spacing w:val="-13"/>
          <w:position w:val="26"/>
          <w:sz w:val="27"/>
          <w:szCs w:val="27"/>
          <w:lang w:val="en-US" w:eastAsia="zh-CN"/>
        </w:rPr>
        <w:t>3</w:t>
      </w:r>
      <w:r>
        <w:rPr>
          <w:spacing w:val="-13"/>
          <w:position w:val="26"/>
          <w:sz w:val="27"/>
          <w:szCs w:val="27"/>
          <w:lang w:eastAsia="zh-CN"/>
        </w:rPr>
        <w:t>年</w:t>
      </w:r>
      <w:r>
        <w:rPr>
          <w:rFonts w:hint="eastAsia"/>
          <w:spacing w:val="-13"/>
          <w:position w:val="26"/>
          <w:sz w:val="27"/>
          <w:szCs w:val="27"/>
          <w:lang w:eastAsia="zh-CN"/>
        </w:rPr>
        <w:t>05</w:t>
      </w:r>
      <w:r>
        <w:rPr>
          <w:spacing w:val="-13"/>
          <w:position w:val="26"/>
          <w:sz w:val="27"/>
          <w:szCs w:val="27"/>
          <w:lang w:eastAsia="zh-CN"/>
        </w:rPr>
        <w:t>月</w:t>
      </w:r>
      <w:r>
        <w:rPr>
          <w:rFonts w:hint="eastAsia"/>
          <w:spacing w:val="-13"/>
          <w:position w:val="26"/>
          <w:sz w:val="27"/>
          <w:szCs w:val="27"/>
          <w:lang w:eastAsia="zh-CN"/>
        </w:rPr>
        <w:t>28</w:t>
      </w:r>
      <w:r>
        <w:rPr>
          <w:spacing w:val="-13"/>
          <w:position w:val="26"/>
          <w:sz w:val="27"/>
          <w:szCs w:val="27"/>
          <w:lang w:eastAsia="zh-CN"/>
        </w:rPr>
        <w:t>日</w:t>
      </w:r>
    </w:p>
    <w:p>
      <w:pPr>
        <w:pStyle w:val="2"/>
        <w:spacing w:before="1" w:line="223" w:lineRule="auto"/>
        <w:ind w:left="3560"/>
        <w:rPr>
          <w:sz w:val="24"/>
          <w:szCs w:val="24"/>
          <w:lang w:eastAsia="zh-CN"/>
        </w:rPr>
      </w:pPr>
      <w:r>
        <w:rPr>
          <w:spacing w:val="7"/>
          <w:sz w:val="24"/>
          <w:szCs w:val="24"/>
          <w:lang w:eastAsia="zh-CN"/>
        </w:rPr>
        <w:t>(此面为封面)</w:t>
      </w:r>
    </w:p>
    <w:p>
      <w:pPr>
        <w:spacing w:line="223" w:lineRule="auto"/>
        <w:rPr>
          <w:sz w:val="24"/>
          <w:szCs w:val="24"/>
          <w:lang w:eastAsia="zh-CN"/>
        </w:rPr>
        <w:sectPr>
          <w:footerReference r:id="rId3" w:type="default"/>
          <w:pgSz w:w="11900" w:h="16820"/>
          <w:pgMar w:top="1429" w:right="1782" w:bottom="1158" w:left="1450" w:header="0" w:footer="850" w:gutter="0"/>
          <w:cols w:space="720" w:num="1"/>
        </w:sectPr>
      </w:pPr>
    </w:p>
    <w:p>
      <w:pPr>
        <w:spacing w:before="137" w:line="221" w:lineRule="auto"/>
        <w:ind w:left="2336"/>
        <w:rPr>
          <w:rFonts w:ascii="黑体" w:hAnsi="黑体" w:eastAsia="黑体" w:cs="黑体"/>
          <w:sz w:val="42"/>
          <w:szCs w:val="42"/>
          <w:lang w:eastAsia="zh-CN"/>
        </w:rPr>
      </w:pPr>
      <w:r>
        <w:rPr>
          <w:rFonts w:ascii="黑体" w:hAnsi="黑体" w:eastAsia="黑体" w:cs="黑体"/>
          <w:b/>
          <w:bCs/>
          <w:spacing w:val="6"/>
          <w:sz w:val="42"/>
          <w:szCs w:val="42"/>
          <w:lang w:eastAsia="zh-CN"/>
        </w:rPr>
        <w:t>项目支出绩效评价报告</w:t>
      </w:r>
    </w:p>
    <w:p>
      <w:pPr>
        <w:spacing w:before="190" w:line="227" w:lineRule="auto"/>
        <w:ind w:left="3670"/>
        <w:rPr>
          <w:rFonts w:ascii="楷体" w:hAnsi="楷体" w:eastAsia="楷体" w:cs="楷体"/>
          <w:sz w:val="31"/>
          <w:szCs w:val="31"/>
          <w:lang w:eastAsia="zh-CN"/>
        </w:rPr>
      </w:pPr>
      <w:r>
        <w:rPr>
          <w:rFonts w:ascii="楷体" w:hAnsi="楷体" w:eastAsia="楷体" w:cs="楷体"/>
          <w:spacing w:val="25"/>
          <w:sz w:val="31"/>
          <w:szCs w:val="31"/>
          <w:lang w:eastAsia="zh-CN"/>
        </w:rPr>
        <w:t>(参考提纲)</w:t>
      </w:r>
    </w:p>
    <w:p>
      <w:pPr>
        <w:spacing w:line="560" w:lineRule="exact"/>
        <w:ind w:firstLine="562" w:firstLineChars="200"/>
        <w:outlineLvl w:val="0"/>
        <w:rPr>
          <w:rFonts w:hint="eastAsia" w:ascii="黑体" w:hAnsi="黑体" w:eastAsia="黑体" w:cs="黑体"/>
          <w:b/>
          <w:bCs/>
          <w:spacing w:val="-15"/>
          <w:sz w:val="31"/>
          <w:szCs w:val="31"/>
          <w:lang w:eastAsia="zh-CN"/>
        </w:rPr>
      </w:pPr>
      <w:r>
        <w:rPr>
          <w:rFonts w:ascii="黑体" w:hAnsi="黑体" w:eastAsia="黑体" w:cs="黑体"/>
          <w:b/>
          <w:bCs/>
          <w:spacing w:val="-15"/>
          <w:sz w:val="31"/>
          <w:szCs w:val="31"/>
          <w:lang w:eastAsia="zh-CN"/>
        </w:rPr>
        <w:t>一、项目支出基本情况</w:t>
      </w:r>
    </w:p>
    <w:p>
      <w:pPr>
        <w:spacing w:line="560" w:lineRule="exact"/>
        <w:ind w:firstLine="640" w:firstLineChars="200"/>
        <w:outlineLvl w:val="0"/>
        <w:rPr>
          <w:rFonts w:eastAsia="仿宋_GB2312"/>
          <w:sz w:val="32"/>
          <w:szCs w:val="32"/>
          <w:lang w:eastAsia="zh-CN"/>
        </w:rPr>
      </w:pPr>
      <w:r>
        <w:rPr>
          <w:rFonts w:hint="eastAsia" w:eastAsia="仿宋_GB2312"/>
          <w:sz w:val="32"/>
          <w:szCs w:val="32"/>
          <w:lang w:eastAsia="zh-CN"/>
        </w:rPr>
        <w:t>农村宅基地和集体建设用地房地一体确权登记颁证专项</w:t>
      </w:r>
      <w:bookmarkStart w:id="0" w:name="_GoBack"/>
      <w:bookmarkEnd w:id="0"/>
      <w:r>
        <w:rPr>
          <w:rFonts w:hint="eastAsia" w:eastAsia="仿宋_GB2312"/>
          <w:sz w:val="32"/>
          <w:szCs w:val="32"/>
          <w:lang w:eastAsia="zh-CN"/>
        </w:rPr>
        <w:t>主要目的为推动新型城镇化和城乡发展一体化，有效指导我市农村规范建房和人居环境改善，提高村庄规划建设管理水平，进一步加强村庄建设。</w:t>
      </w:r>
    </w:p>
    <w:p>
      <w:pPr>
        <w:spacing w:line="560" w:lineRule="exact"/>
        <w:ind w:firstLine="562" w:firstLineChars="200"/>
        <w:jc w:val="both"/>
        <w:rPr>
          <w:rFonts w:hint="eastAsia" w:eastAsia="仿宋_GB2312"/>
          <w:sz w:val="32"/>
          <w:szCs w:val="32"/>
          <w:lang w:eastAsia="zh-CN"/>
        </w:rPr>
      </w:pPr>
      <w:r>
        <w:rPr>
          <w:rFonts w:ascii="黑体" w:hAnsi="黑体" w:eastAsia="黑体" w:cs="黑体"/>
          <w:b/>
          <w:bCs/>
          <w:spacing w:val="-15"/>
          <w:sz w:val="31"/>
          <w:szCs w:val="31"/>
          <w:lang w:eastAsia="zh-CN"/>
        </w:rPr>
        <w:t>(一)项目支出概况。</w:t>
      </w:r>
    </w:p>
    <w:p>
      <w:pPr>
        <w:spacing w:line="560" w:lineRule="exact"/>
        <w:ind w:firstLine="640" w:firstLineChars="200"/>
        <w:jc w:val="both"/>
        <w:rPr>
          <w:rFonts w:eastAsia="仿宋_GB2312"/>
          <w:sz w:val="32"/>
          <w:szCs w:val="32"/>
          <w:lang w:eastAsia="zh-CN"/>
        </w:rPr>
      </w:pPr>
      <w:r>
        <w:rPr>
          <w:rFonts w:hint="eastAsia" w:eastAsia="仿宋_GB2312"/>
          <w:sz w:val="32"/>
          <w:szCs w:val="32"/>
          <w:lang w:eastAsia="zh-CN"/>
        </w:rPr>
        <w:t>为贯彻落实党中央、国务院和省委、省政府关于坚持农业农村优先发展、实施乡村振兴战略、深化农村土地制度改革的要求和部署，加快推进我市农村宅基地和集体建设用地房地</w:t>
      </w:r>
      <w:r>
        <w:rPr>
          <w:rFonts w:eastAsia="仿宋_GB2312"/>
          <w:sz w:val="32"/>
          <w:szCs w:val="32"/>
          <w:lang w:eastAsia="zh-CN"/>
        </w:rPr>
        <w:t>-</w:t>
      </w:r>
      <w:r>
        <w:rPr>
          <w:rFonts w:hint="eastAsia" w:eastAsia="仿宋_GB2312"/>
          <w:sz w:val="32"/>
          <w:szCs w:val="32"/>
          <w:lang w:eastAsia="zh-CN"/>
        </w:rPr>
        <w:t>体确权登记，根据《中共中央国务院关于坚持农业农村优先发展做好“三农”工作的若干意见》（中发</w:t>
      </w:r>
      <w:r>
        <w:rPr>
          <w:rFonts w:eastAsia="仿宋_GB2312"/>
          <w:sz w:val="32"/>
          <w:szCs w:val="32"/>
          <w:lang w:eastAsia="zh-CN"/>
        </w:rPr>
        <w:t>[2019]1</w:t>
      </w:r>
      <w:r>
        <w:rPr>
          <w:rFonts w:hint="eastAsia" w:eastAsia="仿宋_GB2312"/>
          <w:sz w:val="32"/>
          <w:szCs w:val="32"/>
          <w:lang w:eastAsia="zh-CN"/>
        </w:rPr>
        <w:t>号）、《湖南省自然资源厅、湖南省农业农村厅、湖南省财政厅、湖南省住房和城乡建设厅、湖南省公安厅关于做好农村宅基地和集体建设用地房地一体确权登记工作的指导意见》</w:t>
      </w:r>
      <w:r>
        <w:rPr>
          <w:rFonts w:eastAsia="仿宋_GB2312"/>
          <w:sz w:val="32"/>
          <w:szCs w:val="32"/>
          <w:lang w:eastAsia="zh-CN"/>
        </w:rPr>
        <w:t>(</w:t>
      </w:r>
      <w:r>
        <w:rPr>
          <w:rFonts w:hint="eastAsia" w:eastAsia="仿宋_GB2312"/>
          <w:sz w:val="32"/>
          <w:szCs w:val="32"/>
          <w:lang w:eastAsia="zh-CN"/>
        </w:rPr>
        <w:t>湘自然资发</w:t>
      </w:r>
      <w:r>
        <w:rPr>
          <w:rFonts w:eastAsia="仿宋_GB2312"/>
          <w:sz w:val="32"/>
          <w:szCs w:val="32"/>
          <w:lang w:eastAsia="zh-CN"/>
        </w:rPr>
        <w:t>[2019]40</w:t>
      </w:r>
      <w:r>
        <w:rPr>
          <w:rFonts w:hint="eastAsia" w:eastAsia="仿宋_GB2312"/>
          <w:sz w:val="32"/>
          <w:szCs w:val="32"/>
          <w:lang w:eastAsia="zh-CN"/>
        </w:rPr>
        <w:t>号</w:t>
      </w:r>
      <w:r>
        <w:rPr>
          <w:rFonts w:eastAsia="仿宋_GB2312"/>
          <w:sz w:val="32"/>
          <w:szCs w:val="32"/>
          <w:lang w:eastAsia="zh-CN"/>
        </w:rPr>
        <w:t>)</w:t>
      </w:r>
      <w:r>
        <w:rPr>
          <w:rFonts w:hint="eastAsia" w:eastAsia="仿宋_GB2312"/>
          <w:sz w:val="32"/>
          <w:szCs w:val="32"/>
          <w:lang w:eastAsia="zh-CN"/>
        </w:rPr>
        <w:t>、《岳阳市自然资源和规划局、岳阳市农业农村局、岳阳市财政局、岳阳市住房和城乡建设局、岳阳市公安局关于做好农村宅基地和集体建设用地房地一体确权登记工作的通知》</w:t>
      </w:r>
      <w:r>
        <w:rPr>
          <w:rFonts w:eastAsia="仿宋_GB2312"/>
          <w:sz w:val="32"/>
          <w:szCs w:val="32"/>
          <w:lang w:eastAsia="zh-CN"/>
        </w:rPr>
        <w:t>(</w:t>
      </w:r>
      <w:r>
        <w:rPr>
          <w:rFonts w:hint="eastAsia" w:eastAsia="仿宋_GB2312"/>
          <w:sz w:val="32"/>
          <w:szCs w:val="32"/>
          <w:lang w:eastAsia="zh-CN"/>
        </w:rPr>
        <w:t>岳资规发</w:t>
      </w:r>
      <w:r>
        <w:rPr>
          <w:rFonts w:eastAsia="仿宋_GB2312"/>
          <w:sz w:val="32"/>
          <w:szCs w:val="32"/>
          <w:lang w:eastAsia="zh-CN"/>
        </w:rPr>
        <w:t>[2020]4</w:t>
      </w:r>
      <w:r>
        <w:rPr>
          <w:rFonts w:hint="eastAsia" w:eastAsia="仿宋_GB2312"/>
          <w:sz w:val="32"/>
          <w:szCs w:val="32"/>
          <w:lang w:eastAsia="zh-CN"/>
        </w:rPr>
        <w:t>号</w:t>
      </w:r>
      <w:r>
        <w:rPr>
          <w:rFonts w:eastAsia="仿宋_GB2312"/>
          <w:sz w:val="32"/>
          <w:szCs w:val="32"/>
          <w:lang w:eastAsia="zh-CN"/>
        </w:rPr>
        <w:t>)</w:t>
      </w:r>
      <w:r>
        <w:rPr>
          <w:rFonts w:hint="eastAsia" w:eastAsia="仿宋_GB2312"/>
          <w:sz w:val="32"/>
          <w:szCs w:val="32"/>
          <w:lang w:eastAsia="zh-CN"/>
        </w:rPr>
        <w:t>及《汨罗市人民政府办公室关于印发</w:t>
      </w:r>
      <w:r>
        <w:rPr>
          <w:rFonts w:eastAsia="仿宋_GB2312"/>
          <w:sz w:val="32"/>
          <w:szCs w:val="32"/>
          <w:lang w:eastAsia="zh-CN"/>
        </w:rPr>
        <w:t>&lt;</w:t>
      </w:r>
      <w:r>
        <w:rPr>
          <w:rFonts w:hint="eastAsia" w:eastAsia="仿宋_GB2312"/>
          <w:sz w:val="32"/>
          <w:szCs w:val="32"/>
          <w:lang w:eastAsia="zh-CN"/>
        </w:rPr>
        <w:t>汨罗市农村宅基地和集体建设用地房地一体确权登记颁证工作实施方案</w:t>
      </w:r>
      <w:r>
        <w:rPr>
          <w:rFonts w:eastAsia="仿宋_GB2312"/>
          <w:sz w:val="32"/>
          <w:szCs w:val="32"/>
          <w:lang w:eastAsia="zh-CN"/>
        </w:rPr>
        <w:t>&gt;</w:t>
      </w:r>
      <w:r>
        <w:rPr>
          <w:rFonts w:hint="eastAsia" w:eastAsia="仿宋_GB2312"/>
          <w:sz w:val="32"/>
          <w:szCs w:val="32"/>
          <w:lang w:eastAsia="zh-CN"/>
        </w:rPr>
        <w:t>的通知》，完成全市农村宅基地和集体建设用地房地</w:t>
      </w:r>
      <w:r>
        <w:rPr>
          <w:rFonts w:eastAsia="仿宋_GB2312"/>
          <w:sz w:val="32"/>
          <w:szCs w:val="32"/>
          <w:lang w:eastAsia="zh-CN"/>
        </w:rPr>
        <w:t>-</w:t>
      </w:r>
      <w:r>
        <w:rPr>
          <w:rFonts w:hint="eastAsia" w:eastAsia="仿宋_GB2312"/>
          <w:sz w:val="32"/>
          <w:szCs w:val="32"/>
          <w:lang w:eastAsia="zh-CN"/>
        </w:rPr>
        <w:t>体权籍调查覆盖率</w:t>
      </w:r>
      <w:r>
        <w:rPr>
          <w:rFonts w:eastAsia="仿宋_GB2312"/>
          <w:sz w:val="32"/>
          <w:szCs w:val="32"/>
          <w:lang w:eastAsia="zh-CN"/>
        </w:rPr>
        <w:t>100%</w:t>
      </w:r>
      <w:r>
        <w:rPr>
          <w:rFonts w:hint="eastAsia" w:eastAsia="仿宋_GB2312"/>
          <w:sz w:val="32"/>
          <w:szCs w:val="32"/>
          <w:lang w:eastAsia="zh-CN"/>
        </w:rPr>
        <w:t>，农村宅基地和集体建设用地确权登记颁证率</w:t>
      </w:r>
      <w:r>
        <w:rPr>
          <w:rFonts w:eastAsia="仿宋_GB2312"/>
          <w:sz w:val="32"/>
          <w:szCs w:val="32"/>
          <w:lang w:eastAsia="zh-CN"/>
        </w:rPr>
        <w:t>90%</w:t>
      </w:r>
      <w:r>
        <w:rPr>
          <w:rFonts w:hint="eastAsia" w:eastAsia="仿宋_GB2312"/>
          <w:sz w:val="32"/>
          <w:szCs w:val="32"/>
          <w:lang w:eastAsia="zh-CN"/>
        </w:rPr>
        <w:t>以上，基本建成农村房屋不动产登记基础数据库，实现不动产登记城乡全覆盖。据统计全市农村宅基地总宗地数为</w:t>
      </w:r>
      <w:r>
        <w:rPr>
          <w:rFonts w:eastAsia="仿宋_GB2312"/>
          <w:sz w:val="32"/>
          <w:szCs w:val="32"/>
          <w:lang w:eastAsia="zh-CN"/>
        </w:rPr>
        <w:t>168487</w:t>
      </w:r>
      <w:r>
        <w:rPr>
          <w:rFonts w:hint="eastAsia" w:eastAsia="仿宋_GB2312"/>
          <w:sz w:val="32"/>
          <w:szCs w:val="32"/>
          <w:lang w:eastAsia="zh-CN"/>
        </w:rPr>
        <w:t>宗。市财政核定此项工作预算工作经费不高于</w:t>
      </w:r>
      <w:r>
        <w:rPr>
          <w:rFonts w:eastAsia="仿宋_GB2312"/>
          <w:sz w:val="32"/>
          <w:szCs w:val="32"/>
          <w:lang w:eastAsia="zh-CN"/>
        </w:rPr>
        <w:t>235</w:t>
      </w:r>
      <w:r>
        <w:rPr>
          <w:rFonts w:hint="eastAsia" w:eastAsia="仿宋_GB2312"/>
          <w:sz w:val="32"/>
          <w:szCs w:val="32"/>
          <w:lang w:eastAsia="zh-CN"/>
        </w:rPr>
        <w:t>元</w:t>
      </w:r>
      <w:r>
        <w:rPr>
          <w:rFonts w:eastAsia="仿宋_GB2312"/>
          <w:sz w:val="32"/>
          <w:szCs w:val="32"/>
          <w:lang w:eastAsia="zh-CN"/>
        </w:rPr>
        <w:t>/</w:t>
      </w:r>
      <w:r>
        <w:rPr>
          <w:rFonts w:hint="eastAsia" w:eastAsia="仿宋_GB2312"/>
          <w:sz w:val="32"/>
          <w:szCs w:val="32"/>
          <w:lang w:eastAsia="zh-CN"/>
        </w:rPr>
        <w:t>宗，约为</w:t>
      </w:r>
      <w:r>
        <w:rPr>
          <w:rFonts w:eastAsia="仿宋_GB2312"/>
          <w:sz w:val="32"/>
          <w:szCs w:val="32"/>
          <w:lang w:eastAsia="zh-CN"/>
        </w:rPr>
        <w:t>3769.27</w:t>
      </w:r>
      <w:r>
        <w:rPr>
          <w:rFonts w:hint="eastAsia" w:eastAsia="仿宋_GB2312"/>
          <w:sz w:val="32"/>
          <w:szCs w:val="32"/>
          <w:lang w:eastAsia="zh-CN"/>
        </w:rPr>
        <w:t>万元。项目立项依据，中发﹝</w:t>
      </w:r>
      <w:r>
        <w:rPr>
          <w:rFonts w:eastAsia="仿宋_GB2312"/>
          <w:sz w:val="32"/>
          <w:szCs w:val="32"/>
          <w:lang w:eastAsia="zh-CN"/>
        </w:rPr>
        <w:t>2019</w:t>
      </w:r>
      <w:r>
        <w:rPr>
          <w:rFonts w:hint="eastAsia" w:eastAsia="仿宋_GB2312"/>
          <w:sz w:val="32"/>
          <w:szCs w:val="32"/>
          <w:lang w:eastAsia="zh-CN"/>
        </w:rPr>
        <w:t>﹞</w:t>
      </w:r>
      <w:r>
        <w:rPr>
          <w:rFonts w:eastAsia="仿宋_GB2312"/>
          <w:sz w:val="32"/>
          <w:szCs w:val="32"/>
          <w:lang w:eastAsia="zh-CN"/>
        </w:rPr>
        <w:t>1</w:t>
      </w:r>
      <w:r>
        <w:rPr>
          <w:rFonts w:hint="eastAsia" w:eastAsia="仿宋_GB2312"/>
          <w:sz w:val="32"/>
          <w:szCs w:val="32"/>
          <w:lang w:eastAsia="zh-CN"/>
        </w:rPr>
        <w:t>号、湘发﹝</w:t>
      </w:r>
      <w:r>
        <w:rPr>
          <w:rFonts w:eastAsia="仿宋_GB2312"/>
          <w:sz w:val="32"/>
          <w:szCs w:val="32"/>
          <w:lang w:eastAsia="zh-CN"/>
        </w:rPr>
        <w:t>2019</w:t>
      </w:r>
      <w:r>
        <w:rPr>
          <w:rFonts w:hint="eastAsia" w:eastAsia="仿宋_GB2312"/>
          <w:sz w:val="32"/>
          <w:szCs w:val="32"/>
          <w:lang w:eastAsia="zh-CN"/>
        </w:rPr>
        <w:t>﹞</w:t>
      </w:r>
      <w:r>
        <w:rPr>
          <w:rFonts w:eastAsia="仿宋_GB2312"/>
          <w:sz w:val="32"/>
          <w:szCs w:val="32"/>
          <w:lang w:eastAsia="zh-CN"/>
        </w:rPr>
        <w:t>1</w:t>
      </w:r>
      <w:r>
        <w:rPr>
          <w:rFonts w:hint="eastAsia" w:eastAsia="仿宋_GB2312"/>
          <w:sz w:val="32"/>
          <w:szCs w:val="32"/>
          <w:lang w:eastAsia="zh-CN"/>
        </w:rPr>
        <w:t>号、湘自然资发﹝</w:t>
      </w:r>
      <w:r>
        <w:rPr>
          <w:rFonts w:eastAsia="仿宋_GB2312"/>
          <w:sz w:val="32"/>
          <w:szCs w:val="32"/>
          <w:lang w:eastAsia="zh-CN"/>
        </w:rPr>
        <w:t>2019</w:t>
      </w:r>
      <w:r>
        <w:rPr>
          <w:rFonts w:hint="eastAsia" w:eastAsia="仿宋_GB2312"/>
          <w:sz w:val="32"/>
          <w:szCs w:val="32"/>
          <w:lang w:eastAsia="zh-CN"/>
        </w:rPr>
        <w:t>﹞</w:t>
      </w:r>
      <w:r>
        <w:rPr>
          <w:rFonts w:eastAsia="仿宋_GB2312"/>
          <w:sz w:val="32"/>
          <w:szCs w:val="32"/>
          <w:lang w:eastAsia="zh-CN"/>
        </w:rPr>
        <w:t>40</w:t>
      </w:r>
      <w:r>
        <w:rPr>
          <w:rFonts w:hint="eastAsia" w:eastAsia="仿宋_GB2312"/>
          <w:sz w:val="32"/>
          <w:szCs w:val="32"/>
          <w:lang w:eastAsia="zh-CN"/>
        </w:rPr>
        <w:t>号文件。全市</w:t>
      </w:r>
      <w:r>
        <w:rPr>
          <w:rFonts w:eastAsia="仿宋_GB2312"/>
          <w:sz w:val="32"/>
          <w:szCs w:val="32"/>
          <w:lang w:eastAsia="zh-CN"/>
        </w:rPr>
        <w:t>14</w:t>
      </w:r>
      <w:r>
        <w:rPr>
          <w:rFonts w:hint="eastAsia" w:eastAsia="仿宋_GB2312"/>
          <w:sz w:val="32"/>
          <w:szCs w:val="32"/>
          <w:lang w:eastAsia="zh-CN"/>
        </w:rPr>
        <w:t>个乡镇分</w:t>
      </w:r>
      <w:r>
        <w:rPr>
          <w:rFonts w:eastAsia="仿宋_GB2312"/>
          <w:sz w:val="32"/>
          <w:szCs w:val="32"/>
          <w:lang w:eastAsia="zh-CN"/>
        </w:rPr>
        <w:t>8</w:t>
      </w:r>
      <w:r>
        <w:rPr>
          <w:rFonts w:hint="eastAsia" w:eastAsia="仿宋_GB2312"/>
          <w:sz w:val="32"/>
          <w:szCs w:val="32"/>
          <w:lang w:eastAsia="zh-CN"/>
        </w:rPr>
        <w:t>个标段，</w:t>
      </w:r>
      <w:r>
        <w:rPr>
          <w:rFonts w:eastAsia="仿宋_GB2312"/>
          <w:sz w:val="32"/>
          <w:szCs w:val="32"/>
          <w:lang w:eastAsia="zh-CN"/>
        </w:rPr>
        <w:t>1</w:t>
      </w:r>
      <w:r>
        <w:rPr>
          <w:rFonts w:hint="eastAsia" w:eastAsia="仿宋_GB2312"/>
          <w:sz w:val="32"/>
          <w:szCs w:val="32"/>
          <w:lang w:eastAsia="zh-CN"/>
        </w:rPr>
        <w:t>个成果质量审查监理标段。</w:t>
      </w:r>
    </w:p>
    <w:p>
      <w:pPr>
        <w:spacing w:line="560" w:lineRule="exact"/>
        <w:ind w:firstLine="562" w:firstLineChars="200"/>
        <w:jc w:val="both"/>
        <w:rPr>
          <w:rFonts w:hint="eastAsia" w:ascii="黑体" w:hAnsi="黑体" w:eastAsia="黑体" w:cs="黑体"/>
          <w:b/>
          <w:bCs/>
          <w:spacing w:val="-15"/>
          <w:sz w:val="31"/>
          <w:szCs w:val="31"/>
          <w:lang w:eastAsia="zh-CN"/>
        </w:rPr>
      </w:pPr>
      <w:r>
        <w:rPr>
          <w:rFonts w:ascii="黑体" w:hAnsi="黑体" w:eastAsia="黑体" w:cs="黑体"/>
          <w:b/>
          <w:bCs/>
          <w:spacing w:val="-15"/>
          <w:sz w:val="31"/>
          <w:szCs w:val="31"/>
          <w:lang w:eastAsia="zh-CN"/>
        </w:rPr>
        <w:t>(二)项目资金使用管理情况。</w:t>
      </w:r>
    </w:p>
    <w:p>
      <w:pPr>
        <w:spacing w:line="560" w:lineRule="exact"/>
        <w:ind w:firstLine="640" w:firstLineChars="200"/>
        <w:jc w:val="both"/>
        <w:rPr>
          <w:rFonts w:hint="eastAsia" w:eastAsia="仿宋_GB2312"/>
          <w:sz w:val="32"/>
          <w:szCs w:val="32"/>
          <w:lang w:eastAsia="zh-CN"/>
        </w:rPr>
      </w:pPr>
      <w:r>
        <w:rPr>
          <w:rFonts w:hint="eastAsia" w:eastAsia="仿宋_GB2312"/>
          <w:sz w:val="32"/>
          <w:szCs w:val="32"/>
          <w:lang w:eastAsia="zh-CN"/>
        </w:rPr>
        <w:t>建立了相关业务专项财务管理制度，加强资金管理，对项目资金使用情况，实行跟踪监控。一是实行专款专用。二是健全财务机制。建立专项资金管理制度、领导责任制、会计制度和出纳制度等。制定了专项资金使用管理暂行办法，从资金取得</w:t>
      </w:r>
      <w:r>
        <w:rPr>
          <w:rFonts w:eastAsia="仿宋_GB2312"/>
          <w:sz w:val="32"/>
          <w:szCs w:val="32"/>
          <w:lang w:eastAsia="zh-CN"/>
        </w:rPr>
        <w:t>-</w:t>
      </w:r>
      <w:r>
        <w:rPr>
          <w:rFonts w:hint="eastAsia" w:eastAsia="仿宋_GB2312"/>
          <w:sz w:val="32"/>
          <w:szCs w:val="32"/>
          <w:lang w:eastAsia="zh-CN"/>
        </w:rPr>
        <w:t>使用管理</w:t>
      </w:r>
      <w:r>
        <w:rPr>
          <w:rFonts w:eastAsia="仿宋_GB2312"/>
          <w:sz w:val="32"/>
          <w:szCs w:val="32"/>
          <w:lang w:eastAsia="zh-CN"/>
        </w:rPr>
        <w:t>-</w:t>
      </w:r>
      <w:r>
        <w:rPr>
          <w:rFonts w:hint="eastAsia" w:eastAsia="仿宋_GB2312"/>
          <w:sz w:val="32"/>
          <w:szCs w:val="32"/>
          <w:lang w:eastAsia="zh-CN"/>
        </w:rPr>
        <w:t>用后监管都进行了规定，加强了专项资金使用过程的控制和追踪问效。会计科目设置规范，账务处理正确，入账依据充分，各种审批手续完备。三是执行预决算管理。严格按预算管理要求使用资金，严格按进度和合同拨付资金，严格执行政府采购制度；四是严格审批程序。按照“先报再审后用”的原则，由实施方提出申请，相关单位签署意见确认资金额度，经财务股初审后，报局分管领导审批。五是全程接受财政等部门的监管。严格执行国库集中支付制度，严防截留、挪用资金，打造相关业务专项资金在阳光下运行。</w:t>
      </w:r>
    </w:p>
    <w:p>
      <w:pPr>
        <w:spacing w:line="560" w:lineRule="exact"/>
        <w:ind w:firstLine="562" w:firstLineChars="200"/>
        <w:jc w:val="both"/>
        <w:rPr>
          <w:rFonts w:hint="eastAsia" w:eastAsia="仿宋_GB2312"/>
          <w:sz w:val="32"/>
          <w:szCs w:val="32"/>
          <w:lang w:eastAsia="zh-CN"/>
        </w:rPr>
      </w:pPr>
      <w:r>
        <w:rPr>
          <w:rFonts w:ascii="黑体" w:hAnsi="黑体" w:eastAsia="黑体" w:cs="黑体"/>
          <w:b/>
          <w:bCs/>
          <w:spacing w:val="-15"/>
          <w:sz w:val="31"/>
          <w:szCs w:val="31"/>
          <w:lang w:eastAsia="zh-CN"/>
        </w:rPr>
        <w:t>(三)项目支出绩效目标完成程度</w:t>
      </w:r>
    </w:p>
    <w:p>
      <w:pPr>
        <w:spacing w:line="560" w:lineRule="exact"/>
        <w:ind w:firstLine="640" w:firstLineChars="200"/>
        <w:jc w:val="both"/>
        <w:rPr>
          <w:rFonts w:eastAsia="仿宋_GB2312"/>
          <w:sz w:val="32"/>
          <w:szCs w:val="32"/>
          <w:lang w:eastAsia="zh-CN"/>
        </w:rPr>
      </w:pPr>
      <w:r>
        <w:rPr>
          <w:rFonts w:hint="eastAsia" w:eastAsia="仿宋_GB2312"/>
          <w:sz w:val="32"/>
          <w:szCs w:val="32"/>
          <w:lang w:eastAsia="zh-CN"/>
        </w:rPr>
        <w:t>成立专项领导小组，专门组织实施农村宅基地和集体建设用地房地一体确权登记颁证专项工作。该项目取得较好成果。</w:t>
      </w:r>
    </w:p>
    <w:p>
      <w:pPr>
        <w:spacing w:line="560" w:lineRule="exact"/>
        <w:ind w:firstLine="562" w:firstLineChars="200"/>
        <w:outlineLvl w:val="0"/>
        <w:rPr>
          <w:rFonts w:hint="eastAsia" w:ascii="黑体" w:hAnsi="黑体" w:eastAsia="黑体" w:cs="黑体"/>
          <w:b/>
          <w:bCs/>
          <w:spacing w:val="-15"/>
          <w:sz w:val="31"/>
          <w:szCs w:val="31"/>
          <w:lang w:eastAsia="zh-CN"/>
        </w:rPr>
      </w:pPr>
      <w:r>
        <w:rPr>
          <w:rFonts w:ascii="黑体" w:hAnsi="黑体" w:eastAsia="黑体" w:cs="黑体"/>
          <w:b/>
          <w:bCs/>
          <w:spacing w:val="-15"/>
          <w:sz w:val="31"/>
          <w:szCs w:val="31"/>
          <w:lang w:eastAsia="zh-CN"/>
        </w:rPr>
        <w:t>二、绩效评价工作情况</w:t>
      </w:r>
    </w:p>
    <w:p>
      <w:pPr>
        <w:spacing w:line="560" w:lineRule="exact"/>
        <w:ind w:firstLine="640" w:firstLineChars="200"/>
        <w:outlineLvl w:val="0"/>
        <w:rPr>
          <w:rFonts w:eastAsia="仿宋_GB2312"/>
          <w:sz w:val="32"/>
          <w:szCs w:val="32"/>
          <w:lang w:eastAsia="zh-CN"/>
        </w:rPr>
      </w:pPr>
      <w:r>
        <w:rPr>
          <w:rFonts w:hint="eastAsia" w:eastAsia="仿宋_GB2312"/>
          <w:sz w:val="32"/>
          <w:szCs w:val="32"/>
          <w:lang w:eastAsia="zh-CN"/>
        </w:rPr>
        <w:t>得到服务对象充分肯定，满意度为</w:t>
      </w:r>
      <w:r>
        <w:rPr>
          <w:rFonts w:eastAsia="仿宋_GB2312"/>
          <w:sz w:val="32"/>
          <w:szCs w:val="32"/>
          <w:lang w:eastAsia="zh-CN"/>
        </w:rPr>
        <w:t>100%</w:t>
      </w:r>
      <w:r>
        <w:rPr>
          <w:rFonts w:hint="eastAsia" w:eastAsia="仿宋_GB2312"/>
          <w:sz w:val="32"/>
          <w:szCs w:val="32"/>
          <w:lang w:eastAsia="zh-CN"/>
        </w:rPr>
        <w:t>。</w:t>
      </w:r>
    </w:p>
    <w:p>
      <w:pPr>
        <w:spacing w:line="560" w:lineRule="exact"/>
        <w:ind w:firstLine="562" w:firstLineChars="200"/>
        <w:outlineLvl w:val="0"/>
        <w:rPr>
          <w:rFonts w:hint="eastAsia" w:ascii="黑体" w:hAnsi="黑体" w:eastAsia="黑体" w:cs="黑体"/>
          <w:b/>
          <w:bCs/>
          <w:spacing w:val="-15"/>
          <w:sz w:val="31"/>
          <w:szCs w:val="31"/>
          <w:lang w:eastAsia="zh-CN"/>
        </w:rPr>
      </w:pPr>
      <w:r>
        <w:rPr>
          <w:rFonts w:ascii="黑体" w:hAnsi="黑体" w:eastAsia="黑体" w:cs="黑体"/>
          <w:b/>
          <w:bCs/>
          <w:spacing w:val="-15"/>
          <w:sz w:val="31"/>
          <w:szCs w:val="31"/>
          <w:lang w:eastAsia="zh-CN"/>
        </w:rPr>
        <w:t>三 、项目支出主要绩效及评价结论</w:t>
      </w:r>
    </w:p>
    <w:p>
      <w:pPr>
        <w:spacing w:line="560" w:lineRule="exact"/>
        <w:ind w:firstLine="640" w:firstLineChars="200"/>
        <w:outlineLvl w:val="0"/>
        <w:rPr>
          <w:rFonts w:eastAsia="仿宋_GB2312"/>
          <w:sz w:val="32"/>
          <w:szCs w:val="32"/>
          <w:lang w:eastAsia="zh-CN"/>
        </w:rPr>
      </w:pPr>
      <w:r>
        <w:rPr>
          <w:rFonts w:hint="eastAsia" w:eastAsia="仿宋_GB2312"/>
          <w:sz w:val="32"/>
          <w:szCs w:val="32"/>
          <w:lang w:eastAsia="zh-CN"/>
        </w:rPr>
        <w:t>全年度为全市提供各项数字指标及服务，都获得预期的效益，包括经济效益、社会效益、环境效益、可持续影响。</w:t>
      </w:r>
    </w:p>
    <w:p>
      <w:p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四、 绩效评价指标分析</w:t>
      </w:r>
    </w:p>
    <w:p>
      <w:pPr>
        <w:spacing w:line="560" w:lineRule="exact"/>
        <w:ind w:firstLine="640" w:firstLineChars="200"/>
        <w:jc w:val="both"/>
        <w:rPr>
          <w:rFonts w:hint="eastAsia" w:eastAsia="仿宋_GB2312"/>
          <w:sz w:val="32"/>
          <w:szCs w:val="32"/>
          <w:lang w:eastAsia="zh-CN"/>
        </w:rPr>
      </w:pPr>
      <w:r>
        <w:rPr>
          <w:rFonts w:hint="eastAsia" w:eastAsia="仿宋_GB2312"/>
          <w:sz w:val="32"/>
          <w:szCs w:val="32"/>
          <w:lang w:eastAsia="zh-CN"/>
        </w:rPr>
        <w:t>(一)项目支出决策情况</w:t>
      </w:r>
    </w:p>
    <w:p>
      <w:pPr>
        <w:spacing w:line="560" w:lineRule="exact"/>
        <w:ind w:firstLine="640" w:firstLineChars="200"/>
        <w:jc w:val="both"/>
        <w:rPr>
          <w:rFonts w:eastAsia="仿宋_GB2312"/>
          <w:sz w:val="32"/>
          <w:szCs w:val="32"/>
          <w:lang w:eastAsia="zh-CN"/>
        </w:rPr>
      </w:pPr>
      <w:r>
        <w:rPr>
          <w:rFonts w:hint="eastAsia" w:ascii="仿宋" w:hAnsi="仿宋" w:eastAsia="仿宋" w:cs="仿宋"/>
          <w:sz w:val="32"/>
          <w:szCs w:val="32"/>
          <w:lang w:eastAsia="zh-CN"/>
        </w:rPr>
        <w:t>为贯彻落实党中央、国务院和省委、省政府关于坚持农业农村优先发展、实施乡村振兴战略、深化农村土地制度改革的要求和部署，加快推进我市农村宅基地和集体建设用地房地-体确权登记，根据《中共中央国务院关于坚持农业农村优先发展做好“三农”工作的若干意见》（中发[2019]1号）、《湖南省自然资源厅、湖南省农业农村厅、湖南省财政厅、湖南省住房和城乡建设厅、湖南省公安厅关于做好农村宅基地和集体建设用地房地一体确权登记工作的指导意见》(湘自然资发[2019]40号)、《岳阳市自然资源和规划局、岳阳市农业农村局、岳阳市财政局、岳阳市住房和城乡建设局、岳阳市公安局关于做好农村宅基地和集体建设用地房地一体确权登记工作的通知》(岳资规发[2020]4号)及《汨罗市人民政府办公室关于印发&lt;汨罗市农村宅基地和集体建设用地房地一体确权登记颁证工作实施方案&gt;的通知》，完成全市农村宅基地和集体建设用地房地-体权籍调查覆盖率100%，农村宅基地和集体建设用地确权登记颁证率90%以上，基本建成农村房屋不动产登记基础数据库，实现不动产登记城乡全覆盖。</w:t>
      </w:r>
    </w:p>
    <w:p>
      <w:pPr>
        <w:spacing w:line="560" w:lineRule="exact"/>
        <w:ind w:firstLine="640" w:firstLineChars="200"/>
        <w:jc w:val="both"/>
        <w:rPr>
          <w:rFonts w:hint="eastAsia" w:eastAsia="仿宋_GB2312"/>
          <w:sz w:val="32"/>
          <w:szCs w:val="32"/>
          <w:lang w:eastAsia="zh-CN"/>
        </w:rPr>
      </w:pPr>
      <w:r>
        <w:rPr>
          <w:rFonts w:hint="eastAsia" w:eastAsia="仿宋_GB2312"/>
          <w:sz w:val="32"/>
          <w:szCs w:val="32"/>
          <w:lang w:eastAsia="zh-CN"/>
        </w:rPr>
        <w:t>(二)项目执行过程情况</w:t>
      </w:r>
    </w:p>
    <w:p>
      <w:pPr>
        <w:ind w:firstLine="640" w:firstLineChars="200"/>
        <w:rPr>
          <w:rFonts w:ascii="仿宋" w:hAnsi="仿宋" w:eastAsia="仿宋" w:cs="仿宋"/>
          <w:sz w:val="32"/>
          <w:szCs w:val="32"/>
          <w:lang w:eastAsia="zh-CN"/>
        </w:rPr>
      </w:pPr>
      <w:r>
        <w:rPr>
          <w:rFonts w:hint="eastAsia" w:ascii="仿宋" w:hAnsi="仿宋" w:eastAsia="仿宋" w:cs="仿宋"/>
          <w:sz w:val="32"/>
          <w:szCs w:val="32"/>
          <w:lang w:eastAsia="zh-CN"/>
        </w:rPr>
        <w:t xml:space="preserve">据统计全市农村宅基地总宗地数为168,487宗。市财政核定此项工作预算工作经费不高于235元/宗，约为3769.27万元。项目立项依据，中发﹝2019﹞1号、湘发﹝2019﹞1号、湘自然资发﹝2019﹞40号文件。全市14个乡镇分8个标段，1个成果质量审查监理标段。 </w:t>
      </w:r>
    </w:p>
    <w:p>
      <w:pPr>
        <w:spacing w:line="560" w:lineRule="exact"/>
        <w:ind w:firstLine="640" w:firstLineChars="200"/>
        <w:jc w:val="both"/>
        <w:rPr>
          <w:rFonts w:hint="eastAsia" w:eastAsia="仿宋_GB2312"/>
          <w:sz w:val="32"/>
          <w:szCs w:val="32"/>
          <w:lang w:eastAsia="zh-CN"/>
        </w:rPr>
      </w:pPr>
      <w:r>
        <w:rPr>
          <w:rFonts w:hint="eastAsia" w:eastAsia="仿宋_GB2312"/>
          <w:sz w:val="32"/>
          <w:szCs w:val="32"/>
          <w:lang w:eastAsia="zh-CN"/>
        </w:rPr>
        <w:t xml:space="preserve"> (三)项目支出产出情况</w:t>
      </w:r>
    </w:p>
    <w:p>
      <w:pPr>
        <w:spacing w:line="560" w:lineRule="exact"/>
        <w:ind w:firstLine="640" w:firstLineChars="200"/>
        <w:jc w:val="both"/>
        <w:rPr>
          <w:rFonts w:eastAsia="仿宋_GB2312"/>
          <w:sz w:val="32"/>
          <w:szCs w:val="32"/>
          <w:lang w:eastAsia="zh-CN"/>
        </w:rPr>
      </w:pPr>
      <w:r>
        <w:rPr>
          <w:rFonts w:hint="eastAsia" w:ascii="仿宋" w:hAnsi="仿宋" w:eastAsia="仿宋" w:cs="仿宋"/>
          <w:sz w:val="32"/>
          <w:szCs w:val="32"/>
          <w:lang w:eastAsia="zh-CN"/>
        </w:rPr>
        <w:t>完成全市农村宅基地和集体建设用地房地-体权籍调查覆盖率100%，农村宅基地和集体建设用地确权登记颁证率90%以上，基本建成农村房屋不动产登记基础数据库，实现不动产登记城乡全覆盖。</w:t>
      </w:r>
      <w:r>
        <w:rPr>
          <w:rFonts w:hint="eastAsia" w:ascii="仿宋" w:hAnsi="仿宋" w:eastAsia="仿宋" w:cs="仿宋"/>
          <w:sz w:val="32"/>
          <w:szCs w:val="32"/>
        </w:rPr>
        <w:t>据统计全市农村宅基地总宗地数为168487宗。</w:t>
      </w:r>
    </w:p>
    <w:p>
      <w:pPr>
        <w:spacing w:line="560" w:lineRule="exact"/>
        <w:ind w:firstLine="640" w:firstLineChars="200"/>
        <w:jc w:val="both"/>
        <w:rPr>
          <w:rFonts w:hint="eastAsia" w:eastAsia="仿宋_GB2312"/>
          <w:sz w:val="32"/>
          <w:szCs w:val="32"/>
          <w:lang w:eastAsia="zh-CN"/>
        </w:rPr>
      </w:pPr>
      <w:r>
        <w:rPr>
          <w:rFonts w:hint="eastAsia" w:eastAsia="仿宋_GB2312"/>
          <w:sz w:val="32"/>
          <w:szCs w:val="32"/>
          <w:lang w:eastAsia="zh-CN"/>
        </w:rPr>
        <w:t>(四)项目支出效益情况</w:t>
      </w:r>
    </w:p>
    <w:p>
      <w:pPr>
        <w:spacing w:line="560" w:lineRule="exact"/>
        <w:ind w:firstLine="640" w:firstLineChars="200"/>
        <w:jc w:val="both"/>
        <w:rPr>
          <w:rFonts w:eastAsia="仿宋_GB2312"/>
          <w:sz w:val="32"/>
          <w:szCs w:val="32"/>
          <w:lang w:eastAsia="zh-CN"/>
        </w:rPr>
      </w:pPr>
      <w:r>
        <w:rPr>
          <w:rFonts w:hint="eastAsia" w:eastAsia="仿宋_GB2312"/>
          <w:sz w:val="32"/>
          <w:szCs w:val="32"/>
          <w:lang w:eastAsia="zh-CN"/>
        </w:rPr>
        <w:t>完成市县数据更新、成果核查、成果汇总。</w:t>
      </w:r>
    </w:p>
    <w:p>
      <w:pPr>
        <w:spacing w:line="560" w:lineRule="exact"/>
        <w:ind w:firstLine="562" w:firstLineChars="200"/>
        <w:outlineLvl w:val="0"/>
        <w:rPr>
          <w:rFonts w:ascii="黑体" w:hAnsi="黑体" w:eastAsia="黑体" w:cs="黑体"/>
          <w:b/>
          <w:bCs/>
          <w:spacing w:val="-15"/>
          <w:sz w:val="31"/>
          <w:szCs w:val="31"/>
          <w:lang w:eastAsia="zh-CN"/>
        </w:rPr>
      </w:pPr>
      <w:r>
        <w:rPr>
          <w:rFonts w:ascii="黑体" w:hAnsi="黑体" w:eastAsia="黑体" w:cs="黑体"/>
          <w:b/>
          <w:bCs/>
          <w:spacing w:val="-15"/>
          <w:sz w:val="31"/>
          <w:szCs w:val="31"/>
          <w:lang w:eastAsia="zh-CN"/>
        </w:rPr>
        <w:t>五、主要经验及做法、存在的问题及原因分析</w:t>
      </w:r>
    </w:p>
    <w:p>
      <w:pPr>
        <w:spacing w:line="560" w:lineRule="exact"/>
        <w:ind w:firstLine="640" w:firstLineChars="200"/>
        <w:outlineLvl w:val="0"/>
        <w:rPr>
          <w:rFonts w:hint="eastAsia" w:eastAsia="仿宋_GB2312"/>
          <w:sz w:val="32"/>
          <w:szCs w:val="32"/>
          <w:lang w:eastAsia="zh-CN"/>
        </w:rPr>
      </w:pPr>
      <w:r>
        <w:rPr>
          <w:rFonts w:hint="eastAsia" w:eastAsia="仿宋_GB2312"/>
          <w:sz w:val="32"/>
          <w:szCs w:val="32"/>
          <w:lang w:eastAsia="zh-CN"/>
        </w:rPr>
        <w:t>全年度为全市提供各项数字指标及服务，都获得预期的效益，包括经济效益、社会效益、环境效益、可持续影响。</w:t>
      </w:r>
    </w:p>
    <w:p>
      <w:pPr>
        <w:spacing w:line="560" w:lineRule="exact"/>
        <w:outlineLvl w:val="0"/>
        <w:rPr>
          <w:rFonts w:hint="eastAsia" w:ascii="黑体" w:hAnsi="黑体" w:eastAsia="黑体" w:cs="黑体"/>
          <w:b/>
          <w:bCs/>
          <w:spacing w:val="-15"/>
          <w:sz w:val="31"/>
          <w:szCs w:val="31"/>
          <w:lang w:eastAsia="zh-CN"/>
        </w:rPr>
      </w:pPr>
      <w:r>
        <w:rPr>
          <w:rFonts w:hint="eastAsia" w:eastAsia="仿宋_GB2312"/>
          <w:sz w:val="32"/>
          <w:szCs w:val="32"/>
          <w:lang w:eastAsia="zh-CN"/>
        </w:rPr>
        <w:t xml:space="preserve">   </w:t>
      </w:r>
      <w:r>
        <w:rPr>
          <w:rFonts w:ascii="黑体" w:hAnsi="黑体" w:eastAsia="黑体" w:cs="黑体"/>
          <w:b/>
          <w:bCs/>
          <w:spacing w:val="-15"/>
          <w:sz w:val="31"/>
          <w:szCs w:val="31"/>
          <w:lang w:eastAsia="zh-CN"/>
        </w:rPr>
        <w:t>六、有关建议</w:t>
      </w:r>
    </w:p>
    <w:p>
      <w:pPr>
        <w:spacing w:line="560" w:lineRule="exact"/>
        <w:outlineLvl w:val="0"/>
        <w:rPr>
          <w:rFonts w:ascii="黑体" w:hAnsi="黑体" w:eastAsia="黑体" w:cs="黑体"/>
          <w:bCs/>
          <w:spacing w:val="-15"/>
          <w:sz w:val="31"/>
          <w:szCs w:val="31"/>
          <w:lang w:eastAsia="zh-CN"/>
        </w:rPr>
      </w:pPr>
      <w:r>
        <w:rPr>
          <w:rFonts w:hint="eastAsia" w:ascii="黑体" w:hAnsi="黑体" w:eastAsia="黑体" w:cs="黑体"/>
          <w:b/>
          <w:bCs/>
          <w:spacing w:val="-15"/>
          <w:sz w:val="31"/>
          <w:szCs w:val="31"/>
          <w:lang w:eastAsia="zh-CN"/>
        </w:rPr>
        <w:t xml:space="preserve">   </w:t>
      </w:r>
      <w:r>
        <w:rPr>
          <w:rFonts w:hint="eastAsia" w:ascii="黑体" w:hAnsi="黑体" w:eastAsia="黑体" w:cs="黑体"/>
          <w:bCs/>
          <w:spacing w:val="-15"/>
          <w:sz w:val="31"/>
          <w:szCs w:val="31"/>
          <w:lang w:eastAsia="zh-CN"/>
        </w:rPr>
        <w:t xml:space="preserve"> </w:t>
      </w:r>
      <w:r>
        <w:rPr>
          <w:rFonts w:hint="eastAsia" w:eastAsia="仿宋_GB2312"/>
          <w:sz w:val="32"/>
          <w:szCs w:val="32"/>
          <w:lang w:eastAsia="zh-CN"/>
        </w:rPr>
        <w:t>无。</w:t>
      </w:r>
    </w:p>
    <w:p>
      <w:pPr>
        <w:spacing w:line="560" w:lineRule="exact"/>
        <w:ind w:firstLine="562" w:firstLineChars="200"/>
        <w:outlineLvl w:val="0"/>
        <w:rPr>
          <w:rFonts w:hint="eastAsia" w:ascii="黑体" w:hAnsi="黑体" w:eastAsia="黑体" w:cs="黑体"/>
          <w:b/>
          <w:bCs/>
          <w:spacing w:val="-15"/>
          <w:sz w:val="31"/>
          <w:szCs w:val="31"/>
          <w:lang w:eastAsia="zh-CN"/>
        </w:rPr>
      </w:pPr>
      <w:r>
        <w:rPr>
          <w:rFonts w:ascii="黑体" w:hAnsi="黑体" w:eastAsia="黑体" w:cs="黑体"/>
          <w:b/>
          <w:bCs/>
          <w:spacing w:val="-15"/>
          <w:sz w:val="31"/>
          <w:szCs w:val="31"/>
          <w:lang w:eastAsia="zh-CN"/>
        </w:rPr>
        <w:t>七、其他需要说明的问题</w:t>
      </w:r>
    </w:p>
    <w:p>
      <w:pPr>
        <w:spacing w:line="560" w:lineRule="exact"/>
        <w:outlineLvl w:val="0"/>
        <w:rPr>
          <w:rFonts w:hint="eastAsia" w:ascii="仿宋_GB2312" w:hAnsi="黑体" w:eastAsia="仿宋_GB2312" w:cs="黑体"/>
          <w:bCs/>
          <w:spacing w:val="-15"/>
          <w:sz w:val="32"/>
          <w:szCs w:val="32"/>
          <w:lang w:eastAsia="zh-CN"/>
        </w:rPr>
      </w:pPr>
      <w:r>
        <w:rPr>
          <w:rFonts w:hint="eastAsia" w:ascii="黑体" w:hAnsi="黑体" w:eastAsia="黑体" w:cs="黑体"/>
          <w:bCs/>
          <w:spacing w:val="-15"/>
          <w:sz w:val="31"/>
          <w:szCs w:val="31"/>
          <w:lang w:eastAsia="zh-CN"/>
        </w:rPr>
        <w:t xml:space="preserve">    </w:t>
      </w:r>
      <w:r>
        <w:rPr>
          <w:rFonts w:hint="eastAsia" w:ascii="仿宋_GB2312" w:hAnsi="黑体" w:eastAsia="仿宋_GB2312" w:cs="黑体"/>
          <w:bCs/>
          <w:spacing w:val="-15"/>
          <w:sz w:val="31"/>
          <w:szCs w:val="31"/>
          <w:lang w:eastAsia="zh-CN"/>
        </w:rPr>
        <w:t>无。</w:t>
      </w:r>
    </w:p>
    <w:p>
      <w:pPr>
        <w:rPr>
          <w:lang w:eastAsia="zh-CN"/>
        </w:rPr>
      </w:pPr>
    </w:p>
    <w:sectPr>
      <w:footerReference r:id="rId4" w:type="default"/>
      <w:pgSz w:w="11900" w:h="16820"/>
      <w:pgMar w:top="1755" w:right="1227" w:bottom="1485" w:left="1011" w:header="0" w:footer="91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7" w:lineRule="auto"/>
      <w:jc w:val="right"/>
      <w:rPr>
        <w:rFonts w:ascii="宋体" w:hAnsi="宋体" w:eastAsia="宋体" w:cs="宋体"/>
        <w:sz w:val="31"/>
        <w:szCs w:val="3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ind w:left="274"/>
      <w:rPr>
        <w:rFonts w:ascii="宋体" w:hAnsi="宋体" w:eastAsia="宋体" w:cs="宋体"/>
        <w:sz w:val="31"/>
        <w:szCs w:val="3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0ZmZlZTEyYzZiODMwNTZlM2VmMzMxNTExOTMxZTMifQ=="/>
  </w:docVars>
  <w:rsids>
    <w:rsidRoot w:val="00D92FC2"/>
    <w:rsid w:val="000B21C5"/>
    <w:rsid w:val="002860B5"/>
    <w:rsid w:val="003F134C"/>
    <w:rsid w:val="004F701C"/>
    <w:rsid w:val="00544287"/>
    <w:rsid w:val="007054EF"/>
    <w:rsid w:val="00D92FC2"/>
    <w:rsid w:val="00EC550D"/>
    <w:rsid w:val="379701E2"/>
    <w:rsid w:val="481039DC"/>
    <w:rsid w:val="6F5C0A2B"/>
    <w:rsid w:val="7BA81B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4"/>
      <w:szCs w:val="34"/>
    </w:rPr>
  </w:style>
  <w:style w:type="paragraph" w:styleId="3">
    <w:name w:val="footer"/>
    <w:basedOn w:val="1"/>
    <w:link w:val="8"/>
    <w:qFormat/>
    <w:uiPriority w:val="0"/>
    <w:pPr>
      <w:tabs>
        <w:tab w:val="center" w:pos="4153"/>
        <w:tab w:val="right" w:pos="8306"/>
      </w:tabs>
    </w:pPr>
    <w:rPr>
      <w:sz w:val="18"/>
      <w:szCs w:val="18"/>
    </w:rPr>
  </w:style>
  <w:style w:type="paragraph" w:styleId="4">
    <w:name w:val="header"/>
    <w:basedOn w:val="1"/>
    <w:link w:val="7"/>
    <w:uiPriority w:val="0"/>
    <w:pPr>
      <w:pBdr>
        <w:bottom w:val="single" w:color="auto" w:sz="6" w:space="1"/>
      </w:pBdr>
      <w:tabs>
        <w:tab w:val="center" w:pos="4153"/>
        <w:tab w:val="right" w:pos="8306"/>
      </w:tabs>
      <w:jc w:val="center"/>
    </w:pPr>
    <w:rPr>
      <w:sz w:val="18"/>
      <w:szCs w:val="18"/>
    </w:rPr>
  </w:style>
  <w:style w:type="character" w:customStyle="1" w:styleId="7">
    <w:name w:val="页眉 Char"/>
    <w:basedOn w:val="6"/>
    <w:link w:val="4"/>
    <w:qFormat/>
    <w:uiPriority w:val="0"/>
    <w:rPr>
      <w:rFonts w:ascii="Arial" w:hAnsi="Arial" w:eastAsia="Arial" w:cs="Arial"/>
      <w:snapToGrid w:val="0"/>
      <w:color w:val="000000"/>
      <w:sz w:val="18"/>
      <w:szCs w:val="18"/>
      <w:lang w:eastAsia="en-US"/>
    </w:rPr>
  </w:style>
  <w:style w:type="character" w:customStyle="1" w:styleId="8">
    <w:name w:val="页脚 Char"/>
    <w:basedOn w:val="6"/>
    <w:link w:val="3"/>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2070</Words>
  <Characters>2188</Characters>
  <Lines>1</Lines>
  <Paragraphs>4</Paragraphs>
  <TotalTime>27</TotalTime>
  <ScaleCrop>false</ScaleCrop>
  <LinksUpToDate>false</LinksUpToDate>
  <CharactersWithSpaces>2209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2024-05-30T09:17:00Z</dcterms:created>
  <dc:creator>Administrator</dc:creator>
  <cp:lastModifiedBy>企业用户_615845838</cp:lastModifiedBy>
  <dcterms:modified xsi:type="dcterms:W3CDTF">2024-06-26T02:05:23Z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314D914387394D0FB6F8D31A66AB0281_12</vt:lpwstr>
  </property>
</Properties>
</file>